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CBB8" w14:textId="1B2CE888" w:rsidR="006527A9" w:rsidRPr="002F5F5F" w:rsidRDefault="006527A9" w:rsidP="006527A9">
      <w:pPr>
        <w:shd w:val="clear" w:color="auto" w:fill="D9D9D9" w:themeFill="background1" w:themeFillShade="D9"/>
        <w:tabs>
          <w:tab w:val="left" w:pos="4820"/>
        </w:tabs>
        <w:spacing w:after="0" w:line="240" w:lineRule="auto"/>
        <w:ind w:left="2552"/>
        <w:jc w:val="center"/>
        <w:rPr>
          <w:rFonts w:cstheme="minorHAnsi"/>
          <w:b/>
          <w:kern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76ECB" wp14:editId="211FCF39">
            <wp:simplePos x="0" y="0"/>
            <wp:positionH relativeFrom="margin">
              <wp:posOffset>-285750</wp:posOffset>
            </wp:positionH>
            <wp:positionV relativeFrom="paragraph">
              <wp:posOffset>-685800</wp:posOffset>
            </wp:positionV>
            <wp:extent cx="1500692" cy="1381125"/>
            <wp:effectExtent l="0" t="0" r="444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92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5F">
        <w:rPr>
          <w:rFonts w:cstheme="minorHAnsi"/>
          <w:b/>
          <w:kern w:val="20"/>
          <w:sz w:val="28"/>
          <w:szCs w:val="28"/>
        </w:rPr>
        <w:t>MODELE DE DELIBERATION SUPPRESSION DE POSTE</w:t>
      </w:r>
    </w:p>
    <w:p w14:paraId="0F4EAFF6" w14:textId="215C5E90" w:rsidR="00D5061E" w:rsidRDefault="00D5061E" w:rsidP="006527A9">
      <w:pPr>
        <w:tabs>
          <w:tab w:val="left" w:pos="2325"/>
        </w:tabs>
      </w:pPr>
    </w:p>
    <w:p w14:paraId="73EF5E63" w14:textId="4BFF45FD" w:rsidR="00D5061E" w:rsidRDefault="00D5061E" w:rsidP="00D5061E">
      <w:pPr>
        <w:spacing w:after="0"/>
      </w:pPr>
    </w:p>
    <w:p w14:paraId="783964B5" w14:textId="77777777" w:rsidR="00D5061E" w:rsidRDefault="00D5061E" w:rsidP="00D5061E">
      <w:pPr>
        <w:spacing w:after="0"/>
      </w:pPr>
    </w:p>
    <w:p w14:paraId="58C119CD" w14:textId="41050263" w:rsidR="00D5061E" w:rsidRPr="006527A9" w:rsidRDefault="00D5061E" w:rsidP="00654A21">
      <w:pPr>
        <w:spacing w:after="0" w:line="320" w:lineRule="exact"/>
        <w:ind w:left="-426"/>
        <w:jc w:val="both"/>
        <w:outlineLvl w:val="0"/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  <w:t xml:space="preserve">Vu </w:t>
      </w:r>
      <w:r w:rsidRPr="006527A9">
        <w:rPr>
          <w:rFonts w:eastAsia="Times New Roman" w:cstheme="minorHAnsi"/>
          <w:bCs/>
          <w:kern w:val="20"/>
          <w:sz w:val="20"/>
          <w:szCs w:val="20"/>
          <w:lang w:eastAsia="fr-FR"/>
          <w14:ligatures w14:val="none"/>
        </w:rPr>
        <w:t>le Code Général des Collectivités Territoriales,</w:t>
      </w:r>
      <w:r w:rsidRPr="006527A9"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  <w:t xml:space="preserve"> </w:t>
      </w:r>
    </w:p>
    <w:p w14:paraId="0307B879" w14:textId="77777777" w:rsidR="00D5061E" w:rsidRPr="006527A9" w:rsidRDefault="00D5061E" w:rsidP="00654A21">
      <w:pPr>
        <w:spacing w:after="0" w:line="320" w:lineRule="exact"/>
        <w:ind w:left="-426"/>
        <w:jc w:val="both"/>
        <w:outlineLvl w:val="0"/>
        <w:rPr>
          <w:rFonts w:eastAsia="Times New Roman" w:cstheme="minorHAnsi"/>
          <w:bCs/>
          <w:kern w:val="2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  <w:t xml:space="preserve">Vu </w:t>
      </w:r>
      <w:r w:rsidRPr="006527A9">
        <w:rPr>
          <w:rFonts w:eastAsia="Times New Roman" w:cstheme="minorHAnsi"/>
          <w:bCs/>
          <w:kern w:val="20"/>
          <w:sz w:val="20"/>
          <w:szCs w:val="20"/>
          <w:lang w:eastAsia="fr-FR"/>
          <w14:ligatures w14:val="none"/>
        </w:rPr>
        <w:t>le Code Général de la Fonction Publique, notamment son article L313-1,</w:t>
      </w:r>
    </w:p>
    <w:p w14:paraId="6709B3A6" w14:textId="3377536D" w:rsidR="00D5061E" w:rsidRPr="006527A9" w:rsidRDefault="00D5061E" w:rsidP="00654A21">
      <w:pPr>
        <w:spacing w:after="0" w:line="320" w:lineRule="exact"/>
        <w:ind w:left="-426"/>
        <w:jc w:val="both"/>
        <w:outlineLvl w:val="0"/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  <w:t xml:space="preserve">Vu </w:t>
      </w:r>
      <w:r w:rsidRPr="006527A9">
        <w:rPr>
          <w:rFonts w:eastAsia="Times New Roman" w:cstheme="minorHAnsi"/>
          <w:bCs/>
          <w:kern w:val="20"/>
          <w:sz w:val="20"/>
          <w:szCs w:val="20"/>
          <w:lang w:eastAsia="fr-FR"/>
          <w14:ligatures w14:val="none"/>
        </w:rPr>
        <w:t>le tableau des effectifs existant,</w:t>
      </w:r>
    </w:p>
    <w:p w14:paraId="120595D4" w14:textId="208811D6" w:rsidR="006527A9" w:rsidRDefault="00D5061E" w:rsidP="00654A21">
      <w:pPr>
        <w:spacing w:after="0" w:line="320" w:lineRule="exact"/>
        <w:ind w:left="-426"/>
        <w:jc w:val="both"/>
        <w:outlineLvl w:val="0"/>
        <w:rPr>
          <w:rFonts w:eastAsia="Times New Roman" w:cstheme="minorHAnsi"/>
          <w:bCs/>
          <w:kern w:val="2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  <w:t xml:space="preserve">Vu </w:t>
      </w:r>
      <w:r w:rsidRPr="006527A9">
        <w:rPr>
          <w:rFonts w:eastAsia="Times New Roman" w:cstheme="minorHAnsi"/>
          <w:bCs/>
          <w:kern w:val="20"/>
          <w:sz w:val="20"/>
          <w:szCs w:val="20"/>
          <w:lang w:eastAsia="fr-FR"/>
          <w14:ligatures w14:val="none"/>
        </w:rPr>
        <w:t>l’avis du Comité Social Territorial en date du …,</w:t>
      </w:r>
    </w:p>
    <w:p w14:paraId="71BCDB43" w14:textId="77777777" w:rsidR="00654A21" w:rsidRPr="00654A21" w:rsidRDefault="00654A21" w:rsidP="00654A21">
      <w:pPr>
        <w:spacing w:after="0" w:line="320" w:lineRule="exact"/>
        <w:ind w:left="-426"/>
        <w:jc w:val="both"/>
        <w:outlineLvl w:val="0"/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</w:pPr>
    </w:p>
    <w:p w14:paraId="7460F687" w14:textId="027307F9" w:rsidR="00D5061E" w:rsidRPr="00654A21" w:rsidRDefault="00D5061E" w:rsidP="00654A21">
      <w:pPr>
        <w:spacing w:after="0" w:line="240" w:lineRule="auto"/>
        <w:ind w:hanging="426"/>
        <w:jc w:val="both"/>
        <w:outlineLvl w:val="0"/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</w:pPr>
      <w:r w:rsidRPr="00654A21">
        <w:rPr>
          <w:rFonts w:eastAsia="Times New Roman" w:cstheme="minorHAnsi"/>
          <w:b/>
          <w:kern w:val="20"/>
          <w:sz w:val="20"/>
          <w:szCs w:val="20"/>
          <w:lang w:eastAsia="fr-FR"/>
          <w14:ligatures w14:val="none"/>
        </w:rPr>
        <w:t>Considérant ce qui suit :</w:t>
      </w:r>
    </w:p>
    <w:p w14:paraId="46DE99EB" w14:textId="77777777" w:rsidR="00D5061E" w:rsidRPr="006527A9" w:rsidRDefault="00D5061E" w:rsidP="00AE358B">
      <w:pPr>
        <w:spacing w:after="0" w:line="320" w:lineRule="exact"/>
        <w:ind w:left="-426"/>
        <w:jc w:val="both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Les emplois de chaque collectivité ou établissement sont créés par l’organe délibérant de la collectivité ou de l’établissement.</w:t>
      </w:r>
    </w:p>
    <w:p w14:paraId="64C3B665" w14:textId="77777777" w:rsidR="00D5061E" w:rsidRPr="006527A9" w:rsidRDefault="00D5061E" w:rsidP="00AE358B">
      <w:pPr>
        <w:spacing w:after="0" w:line="320" w:lineRule="exact"/>
        <w:ind w:left="-426"/>
        <w:jc w:val="both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 xml:space="preserve">Il appartient donc à l’assemblée délibérante de la collectivité ou de l’établissement public de fixer l’effectif des emplois nécessaire au fonctionnement des services. </w:t>
      </w:r>
    </w:p>
    <w:p w14:paraId="43391B5B" w14:textId="77777777" w:rsidR="00D5061E" w:rsidRPr="006527A9" w:rsidRDefault="00D5061E" w:rsidP="00AE358B">
      <w:pPr>
        <w:spacing w:after="0" w:line="320" w:lineRule="exact"/>
        <w:ind w:left="-426"/>
        <w:jc w:val="both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Compte tenu de …. (Exposer ici les faits justifiant la suppression puis la création d’un nouvel emploi, par exemple : départ d’un fonctionnaire et réorganisation des services), il convient de supprimer et créer les emplois correspondants.</w:t>
      </w:r>
    </w:p>
    <w:p w14:paraId="1988FC68" w14:textId="69709EC6" w:rsidR="00D5061E" w:rsidRPr="00654A21" w:rsidRDefault="00D5061E" w:rsidP="00AE358B">
      <w:pPr>
        <w:spacing w:after="0" w:line="320" w:lineRule="exact"/>
        <w:ind w:left="-426"/>
        <w:jc w:val="both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Il appartient à l'organe délibérant, conformément aux dispositions légales énoncées ci-dessus, de déterminer par délibération, de supprimer et de créer un emploi.</w:t>
      </w:r>
    </w:p>
    <w:p w14:paraId="59237E47" w14:textId="7660D24E" w:rsidR="00D5061E" w:rsidRPr="006527A9" w:rsidRDefault="00D5061E" w:rsidP="00AE358B">
      <w:pPr>
        <w:spacing w:after="0" w:line="320" w:lineRule="exact"/>
        <w:ind w:left="-426"/>
        <w:jc w:val="both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 xml:space="preserve">L’assemblée délibérante, </w:t>
      </w:r>
    </w:p>
    <w:p w14:paraId="797F0A44" w14:textId="24800DBC" w:rsidR="006527A9" w:rsidRPr="006527A9" w:rsidRDefault="00D5061E" w:rsidP="006527A9">
      <w:pPr>
        <w:spacing w:after="120" w:line="320" w:lineRule="exact"/>
        <w:ind w:left="-426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  <w:r w:rsidRPr="006527A9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Décide</w:t>
      </w:r>
    </w:p>
    <w:p w14:paraId="50C36FA0" w14:textId="41C054D0" w:rsidR="00D5061E" w:rsidRPr="006527A9" w:rsidRDefault="00D5061E" w:rsidP="006527A9">
      <w:pPr>
        <w:pStyle w:val="Paragraphedeliste"/>
        <w:numPr>
          <w:ilvl w:val="0"/>
          <w:numId w:val="4"/>
        </w:numPr>
        <w:ind w:left="-426"/>
        <w:rPr>
          <w:rFonts w:cstheme="minorHAnsi"/>
        </w:rPr>
      </w:pPr>
      <w:r w:rsidRPr="006527A9">
        <w:rPr>
          <w:rFonts w:cstheme="minorHAnsi"/>
        </w:rPr>
        <w:t xml:space="preserve">D’instituer selon le dispositif suivant : </w:t>
      </w:r>
    </w:p>
    <w:p w14:paraId="74072F5B" w14:textId="694B7DDB" w:rsidR="00D5061E" w:rsidRPr="006527A9" w:rsidRDefault="00D5061E" w:rsidP="00AE358B">
      <w:pPr>
        <w:spacing w:after="0" w:line="320" w:lineRule="exact"/>
        <w:ind w:left="-426"/>
        <w:jc w:val="both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 xml:space="preserve">La suppression, à compter du …, de l’emploi de …  </w:t>
      </w:r>
      <w:proofErr w:type="gramStart"/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à</w:t>
      </w:r>
      <w:proofErr w:type="gramEnd"/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 xml:space="preserve"> temps complet (ou : à TNC à raison de … heures hebdomadaires) au service … (indiquer le service) ,et</w:t>
      </w:r>
    </w:p>
    <w:p w14:paraId="72C2A843" w14:textId="7BAFCAEE" w:rsidR="00D5061E" w:rsidRPr="006527A9" w:rsidRDefault="00D5061E" w:rsidP="00AE358B">
      <w:pPr>
        <w:spacing w:after="0" w:line="320" w:lineRule="exact"/>
        <w:ind w:left="-426"/>
        <w:jc w:val="both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La création, à compter de la même date, d’un emploi de …, à temps complet (</w:t>
      </w:r>
      <w:proofErr w:type="gramStart"/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ou</w:t>
      </w:r>
      <w:proofErr w:type="gramEnd"/>
      <w:r w:rsidRPr="006527A9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 xml:space="preserve"> : à TNC à raison de … heures hebdomadaires) relevant de la catégorie … (A, B ou C) au service … (indiquer le service) à compter du … (date ne pouvant être rétroactive).</w:t>
      </w:r>
    </w:p>
    <w:p w14:paraId="30BE05F5" w14:textId="60D237B3" w:rsidR="00D5061E" w:rsidRPr="006527A9" w:rsidRDefault="00D5061E" w:rsidP="006527A9">
      <w:pPr>
        <w:pStyle w:val="Paragraphedeliste"/>
        <w:numPr>
          <w:ilvl w:val="0"/>
          <w:numId w:val="4"/>
        </w:numPr>
        <w:ind w:left="-426"/>
        <w:rPr>
          <w:rFonts w:cstheme="minorHAnsi"/>
        </w:rPr>
      </w:pPr>
      <w:r w:rsidRPr="006527A9">
        <w:rPr>
          <w:rFonts w:cstheme="minorHAnsi"/>
        </w:rPr>
        <w:t xml:space="preserve">De modifier le tableau suivant : </w:t>
      </w:r>
    </w:p>
    <w:p w14:paraId="1D441D41" w14:textId="1CC7FA84" w:rsidR="00D5061E" w:rsidRPr="006527A9" w:rsidRDefault="00D5061E" w:rsidP="006527A9">
      <w:pPr>
        <w:ind w:left="-426"/>
        <w:rPr>
          <w:i/>
          <w:iCs/>
          <w:color w:val="FF0000"/>
          <w:sz w:val="20"/>
          <w:szCs w:val="20"/>
        </w:rPr>
      </w:pPr>
      <w:r w:rsidRPr="006527A9">
        <w:rPr>
          <w:i/>
          <w:iCs/>
          <w:color w:val="FF0000"/>
          <w:sz w:val="20"/>
          <w:szCs w:val="20"/>
        </w:rPr>
        <w:t>(</w:t>
      </w:r>
      <w:proofErr w:type="gramStart"/>
      <w:r w:rsidRPr="006527A9">
        <w:rPr>
          <w:i/>
          <w:iCs/>
          <w:color w:val="FF0000"/>
          <w:sz w:val="20"/>
          <w:szCs w:val="20"/>
        </w:rPr>
        <w:t>exemple</w:t>
      </w:r>
      <w:proofErr w:type="gramEnd"/>
      <w:r w:rsidRPr="006527A9">
        <w:rPr>
          <w:i/>
          <w:iCs/>
          <w:color w:val="FF0000"/>
          <w:sz w:val="20"/>
          <w:szCs w:val="20"/>
        </w:rPr>
        <w:t> : à modifier)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429"/>
        <w:gridCol w:w="1165"/>
        <w:gridCol w:w="1648"/>
        <w:gridCol w:w="868"/>
        <w:gridCol w:w="2126"/>
      </w:tblGrid>
      <w:tr w:rsidR="00D5061E" w:rsidRPr="00D5061E" w14:paraId="0696CF29" w14:textId="77777777" w:rsidTr="00AE358B">
        <w:trPr>
          <w:cantSplit/>
        </w:trPr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AC51A82" w14:textId="77777777" w:rsidR="00D5061E" w:rsidRPr="00D5061E" w:rsidRDefault="00D5061E" w:rsidP="006527A9">
            <w:pPr>
              <w:ind w:left="-426"/>
              <w:rPr>
                <w:b/>
                <w:bCs/>
              </w:rPr>
            </w:pPr>
            <w:r w:rsidRPr="00D5061E">
              <w:rPr>
                <w:b/>
                <w:bCs/>
                <w:i/>
                <w:iCs/>
              </w:rPr>
              <w:t>SERVICE FINANCIER</w:t>
            </w:r>
          </w:p>
        </w:tc>
      </w:tr>
      <w:tr w:rsidR="006527A9" w:rsidRPr="00D5061E" w14:paraId="57DF743C" w14:textId="77777777" w:rsidTr="00AE358B">
        <w:trPr>
          <w:trHeight w:val="629"/>
        </w:trPr>
        <w:tc>
          <w:tcPr>
            <w:tcW w:w="1695" w:type="dxa"/>
            <w:shd w:val="clear" w:color="auto" w:fill="F3F3F3"/>
          </w:tcPr>
          <w:p w14:paraId="62961AE1" w14:textId="5FF2505B" w:rsidR="00D5061E" w:rsidRPr="00D5061E" w:rsidRDefault="006527A9" w:rsidP="006527A9">
            <w:pPr>
              <w:rPr>
                <w:b/>
                <w:bCs/>
              </w:rPr>
            </w:pPr>
            <w:r>
              <w:rPr>
                <w:b/>
                <w:bCs/>
              </w:rPr>
              <w:t>EMPLOI</w:t>
            </w:r>
          </w:p>
        </w:tc>
        <w:tc>
          <w:tcPr>
            <w:tcW w:w="1429" w:type="dxa"/>
            <w:shd w:val="clear" w:color="auto" w:fill="F3F3F3"/>
          </w:tcPr>
          <w:p w14:paraId="7922B397" w14:textId="0ABC6EC0" w:rsidR="00D5061E" w:rsidRDefault="006527A9" w:rsidP="00AE35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GRADES </w:t>
            </w:r>
          </w:p>
          <w:p w14:paraId="3392126A" w14:textId="6714242B" w:rsidR="006527A9" w:rsidRPr="00D5061E" w:rsidRDefault="006527A9" w:rsidP="00AE35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ASSOCIES</w:t>
            </w:r>
          </w:p>
        </w:tc>
        <w:tc>
          <w:tcPr>
            <w:tcW w:w="1165" w:type="dxa"/>
            <w:shd w:val="clear" w:color="auto" w:fill="F3F3F3"/>
          </w:tcPr>
          <w:p w14:paraId="05D93CD6" w14:textId="706BDFCD" w:rsidR="00D5061E" w:rsidRPr="00D5061E" w:rsidRDefault="006527A9" w:rsidP="006527A9">
            <w:pPr>
              <w:rPr>
                <w:b/>
                <w:bCs/>
              </w:rPr>
            </w:pPr>
            <w:r>
              <w:rPr>
                <w:b/>
                <w:bCs/>
              </w:rPr>
              <w:t>CATEGORIE</w:t>
            </w:r>
          </w:p>
        </w:tc>
        <w:tc>
          <w:tcPr>
            <w:tcW w:w="1648" w:type="dxa"/>
            <w:shd w:val="clear" w:color="auto" w:fill="F3F3F3"/>
          </w:tcPr>
          <w:p w14:paraId="79FF866D" w14:textId="1DB566AA" w:rsidR="00D5061E" w:rsidRPr="00D5061E" w:rsidRDefault="006527A9" w:rsidP="006527A9">
            <w:pPr>
              <w:rPr>
                <w:b/>
                <w:bCs/>
              </w:rPr>
            </w:pPr>
            <w:r>
              <w:rPr>
                <w:b/>
                <w:bCs/>
              </w:rPr>
              <w:t>Ancien</w:t>
            </w:r>
            <w:r w:rsidR="00D5061E" w:rsidRPr="00D5061E">
              <w:rPr>
                <w:b/>
                <w:bCs/>
              </w:rPr>
              <w:t xml:space="preserve"> effectif</w:t>
            </w:r>
          </w:p>
        </w:tc>
        <w:tc>
          <w:tcPr>
            <w:tcW w:w="868" w:type="dxa"/>
            <w:shd w:val="clear" w:color="auto" w:fill="F3F3F3"/>
          </w:tcPr>
          <w:p w14:paraId="5AD4F5A3" w14:textId="45A3B497" w:rsidR="00D5061E" w:rsidRPr="00D5061E" w:rsidRDefault="006527A9" w:rsidP="006527A9">
            <w:pPr>
              <w:rPr>
                <w:b/>
                <w:bCs/>
              </w:rPr>
            </w:pPr>
            <w:r>
              <w:rPr>
                <w:b/>
                <w:bCs/>
              </w:rPr>
              <w:t>Nouvel effectif</w:t>
            </w:r>
          </w:p>
        </w:tc>
        <w:tc>
          <w:tcPr>
            <w:tcW w:w="2126" w:type="dxa"/>
            <w:shd w:val="clear" w:color="auto" w:fill="F3F3F3"/>
          </w:tcPr>
          <w:p w14:paraId="36E059BD" w14:textId="21C6EA09" w:rsidR="00D5061E" w:rsidRPr="00D5061E" w:rsidRDefault="006527A9" w:rsidP="006527A9">
            <w:pPr>
              <w:rPr>
                <w:b/>
                <w:bCs/>
              </w:rPr>
            </w:pPr>
            <w:r>
              <w:rPr>
                <w:b/>
                <w:bCs/>
              </w:rPr>
              <w:t>Durée hebdomadaire</w:t>
            </w:r>
          </w:p>
        </w:tc>
      </w:tr>
      <w:tr w:rsidR="006527A9" w:rsidRPr="00D5061E" w14:paraId="68741B4B" w14:textId="77777777" w:rsidTr="00AE358B">
        <w:trPr>
          <w:trHeight w:val="442"/>
        </w:trPr>
        <w:tc>
          <w:tcPr>
            <w:tcW w:w="1695" w:type="dxa"/>
            <w:shd w:val="clear" w:color="auto" w:fill="F3F3F3"/>
          </w:tcPr>
          <w:p w14:paraId="30AC3008" w14:textId="0160AE4B" w:rsidR="00D5061E" w:rsidRPr="00D5061E" w:rsidRDefault="006527A9" w:rsidP="006527A9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Service Comptable</w:t>
            </w:r>
          </w:p>
        </w:tc>
        <w:tc>
          <w:tcPr>
            <w:tcW w:w="1429" w:type="dxa"/>
            <w:shd w:val="clear" w:color="auto" w:fill="F3F3F3"/>
          </w:tcPr>
          <w:p w14:paraId="55F7923A" w14:textId="5E91F98F" w:rsidR="00D5061E" w:rsidRPr="00D5061E" w:rsidRDefault="006527A9" w:rsidP="006527A9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Rédacteur</w:t>
            </w:r>
          </w:p>
        </w:tc>
        <w:tc>
          <w:tcPr>
            <w:tcW w:w="1165" w:type="dxa"/>
            <w:shd w:val="clear" w:color="auto" w:fill="F3F3F3"/>
          </w:tcPr>
          <w:p w14:paraId="15B1B103" w14:textId="77777777" w:rsidR="00D5061E" w:rsidRPr="00D5061E" w:rsidRDefault="00D5061E" w:rsidP="006527A9">
            <w:pPr>
              <w:ind w:left="-426"/>
              <w:rPr>
                <w:i/>
                <w:iCs/>
                <w:color w:val="FF0000"/>
              </w:rPr>
            </w:pPr>
            <w:r w:rsidRPr="00D5061E">
              <w:rPr>
                <w:i/>
                <w:iCs/>
                <w:color w:val="FF0000"/>
              </w:rPr>
              <w:t>B</w:t>
            </w:r>
          </w:p>
        </w:tc>
        <w:tc>
          <w:tcPr>
            <w:tcW w:w="1648" w:type="dxa"/>
            <w:shd w:val="clear" w:color="auto" w:fill="F3F3F3"/>
          </w:tcPr>
          <w:p w14:paraId="5CE06FD1" w14:textId="77777777" w:rsidR="00D5061E" w:rsidRPr="00D5061E" w:rsidRDefault="00D5061E" w:rsidP="006527A9">
            <w:pPr>
              <w:ind w:left="-426"/>
              <w:rPr>
                <w:i/>
                <w:iCs/>
                <w:color w:val="FF0000"/>
              </w:rPr>
            </w:pPr>
            <w:r w:rsidRPr="00D5061E">
              <w:rPr>
                <w:i/>
                <w:iCs/>
                <w:color w:val="FF0000"/>
              </w:rPr>
              <w:t>2</w:t>
            </w:r>
          </w:p>
        </w:tc>
        <w:tc>
          <w:tcPr>
            <w:tcW w:w="868" w:type="dxa"/>
            <w:shd w:val="clear" w:color="auto" w:fill="F3F3F3"/>
          </w:tcPr>
          <w:p w14:paraId="292E99D1" w14:textId="77777777" w:rsidR="00D5061E" w:rsidRPr="00D5061E" w:rsidRDefault="00D5061E" w:rsidP="006527A9">
            <w:pPr>
              <w:ind w:left="-426"/>
              <w:rPr>
                <w:i/>
                <w:iCs/>
                <w:color w:val="FF0000"/>
              </w:rPr>
            </w:pPr>
            <w:r w:rsidRPr="00D5061E">
              <w:rPr>
                <w:i/>
                <w:iCs/>
                <w:color w:val="FF0000"/>
              </w:rPr>
              <w:t>1</w:t>
            </w:r>
          </w:p>
        </w:tc>
        <w:tc>
          <w:tcPr>
            <w:tcW w:w="2126" w:type="dxa"/>
            <w:shd w:val="clear" w:color="auto" w:fill="F3F3F3"/>
          </w:tcPr>
          <w:p w14:paraId="7BCFA82F" w14:textId="77777777" w:rsidR="00D5061E" w:rsidRPr="00D5061E" w:rsidRDefault="00D5061E" w:rsidP="006527A9">
            <w:pPr>
              <w:ind w:left="-426"/>
              <w:rPr>
                <w:i/>
                <w:iCs/>
                <w:color w:val="FF0000"/>
              </w:rPr>
            </w:pPr>
            <w:r w:rsidRPr="00D5061E">
              <w:rPr>
                <w:i/>
                <w:iCs/>
                <w:color w:val="FF0000"/>
              </w:rPr>
              <w:t>TC</w:t>
            </w:r>
          </w:p>
        </w:tc>
      </w:tr>
    </w:tbl>
    <w:p w14:paraId="167CDAB3" w14:textId="77777777" w:rsidR="00D5061E" w:rsidRDefault="00D5061E" w:rsidP="00AE358B">
      <w:pPr>
        <w:spacing w:after="0"/>
      </w:pPr>
    </w:p>
    <w:p w14:paraId="5466DB5C" w14:textId="32AA8866" w:rsidR="00D5061E" w:rsidRDefault="00D5061E" w:rsidP="00AE358B">
      <w:pPr>
        <w:spacing w:after="0"/>
        <w:ind w:left="-426"/>
      </w:pPr>
      <w:r>
        <w:t>-</w:t>
      </w:r>
      <w:r>
        <w:tab/>
      </w:r>
      <w:r w:rsidRPr="00654A21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D’inscrire au budget les crédits correspondants ;</w:t>
      </w:r>
    </w:p>
    <w:p w14:paraId="0013D547" w14:textId="11BD9FDC" w:rsidR="00D5061E" w:rsidRPr="00654A21" w:rsidRDefault="00D5061E" w:rsidP="00AE358B">
      <w:pPr>
        <w:spacing w:after="0"/>
        <w:ind w:left="-426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4A21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-</w:t>
      </w:r>
      <w:r w:rsidRPr="00654A21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ab/>
        <w:t>D’autoriser l’autorité territoriale à signer tout acte y afférent ;</w:t>
      </w:r>
    </w:p>
    <w:p w14:paraId="428D1483" w14:textId="79F94D78" w:rsidR="00D5061E" w:rsidRPr="00AE358B" w:rsidRDefault="00D5061E" w:rsidP="00AE358B">
      <w:pPr>
        <w:spacing w:after="0"/>
        <w:ind w:left="-426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  <w:r w:rsidRPr="00654A21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-</w:t>
      </w:r>
      <w:r w:rsidRPr="00654A21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ab/>
        <w:t>De charger l’autorité territoriale de veiller à la bonne exécution de cette délibération, qui prend effet à partir du</w:t>
      </w:r>
      <w:r w:rsidR="00654A21"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  <w:t>….</w:t>
      </w:r>
    </w:p>
    <w:p w14:paraId="079FDD49" w14:textId="77777777" w:rsidR="00AE358B" w:rsidRDefault="00AE358B" w:rsidP="00AE358B">
      <w:pPr>
        <w:pStyle w:val="articlecontenu"/>
        <w:spacing w:after="0"/>
        <w:ind w:left="6804" w:firstLine="0"/>
        <w:rPr>
          <w:rFonts w:asciiTheme="minorHAnsi" w:hAnsiTheme="minorHAnsi" w:cstheme="minorHAnsi"/>
          <w:color w:val="auto"/>
          <w:kern w:val="20"/>
        </w:rPr>
      </w:pPr>
    </w:p>
    <w:p w14:paraId="6EA376C1" w14:textId="78FFC7C6" w:rsidR="006527A9" w:rsidRPr="002F5F5F" w:rsidRDefault="006527A9" w:rsidP="00AE358B">
      <w:pPr>
        <w:pStyle w:val="articlecontenu"/>
        <w:spacing w:after="0"/>
        <w:ind w:left="6804" w:firstLine="0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>Fait à …… le ……,</w:t>
      </w:r>
    </w:p>
    <w:p w14:paraId="100FB111" w14:textId="77777777" w:rsidR="006527A9" w:rsidRPr="002F5F5F" w:rsidRDefault="006527A9" w:rsidP="00AE358B">
      <w:pPr>
        <w:pStyle w:val="articlecontenu"/>
        <w:spacing w:after="0"/>
        <w:ind w:left="6804" w:firstLine="0"/>
        <w:rPr>
          <w:rFonts w:asciiTheme="minorHAnsi" w:hAnsiTheme="minorHAnsi" w:cstheme="minorHAnsi"/>
          <w:i/>
          <w:color w:val="auto"/>
        </w:rPr>
      </w:pPr>
      <w:r w:rsidRPr="002F5F5F">
        <w:rPr>
          <w:rFonts w:asciiTheme="minorHAnsi" w:hAnsiTheme="minorHAnsi" w:cstheme="minorHAnsi"/>
          <w:color w:val="auto"/>
          <w:kern w:val="20"/>
        </w:rPr>
        <w:t xml:space="preserve">Le Maire </w:t>
      </w:r>
      <w:r w:rsidRPr="002F5F5F">
        <w:rPr>
          <w:rFonts w:asciiTheme="minorHAnsi" w:hAnsiTheme="minorHAnsi" w:cstheme="minorHAnsi"/>
          <w:i/>
          <w:color w:val="auto"/>
        </w:rPr>
        <w:t>(le président),</w:t>
      </w:r>
    </w:p>
    <w:p w14:paraId="1A8B993E" w14:textId="32792B1C" w:rsidR="006527A9" w:rsidRPr="00AE358B" w:rsidRDefault="006527A9" w:rsidP="00AE358B">
      <w:pPr>
        <w:pStyle w:val="articlecontenu"/>
        <w:spacing w:after="0"/>
        <w:ind w:left="6804" w:firstLine="0"/>
        <w:rPr>
          <w:rFonts w:asciiTheme="minorHAnsi" w:hAnsiTheme="minorHAnsi" w:cstheme="minorHAnsi"/>
          <w:i/>
          <w:color w:val="auto"/>
        </w:rPr>
      </w:pPr>
      <w:r w:rsidRPr="002F5F5F">
        <w:rPr>
          <w:rFonts w:asciiTheme="minorHAnsi" w:hAnsiTheme="minorHAnsi" w:cstheme="minorHAnsi"/>
          <w:i/>
          <w:color w:val="auto"/>
        </w:rPr>
        <w:t>(Prénom, nom lisibles et signature)</w:t>
      </w:r>
    </w:p>
    <w:p w14:paraId="775B8E0E" w14:textId="32C3BF38" w:rsidR="006527A9" w:rsidRPr="002F5F5F" w:rsidRDefault="006527A9" w:rsidP="006527A9">
      <w:pPr>
        <w:pStyle w:val="recours"/>
        <w:ind w:left="-426" w:right="0"/>
        <w:rPr>
          <w:rFonts w:asciiTheme="minorHAnsi" w:hAnsiTheme="minorHAnsi" w:cstheme="minorHAnsi"/>
          <w:color w:val="auto"/>
        </w:rPr>
      </w:pPr>
      <w:r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>Le Maire</w:t>
      </w:r>
      <w:r w:rsidRPr="002F5F5F">
        <w:rPr>
          <w:rFonts w:asciiTheme="minorHAnsi" w:hAnsiTheme="minorHAnsi" w:cstheme="minorHAnsi"/>
          <w:color w:val="auto"/>
        </w:rPr>
        <w:t xml:space="preserve"> </w:t>
      </w:r>
      <w:r w:rsidRPr="002F5F5F">
        <w:rPr>
          <w:rFonts w:asciiTheme="minorHAnsi" w:hAnsiTheme="minorHAnsi" w:cstheme="minorHAnsi"/>
          <w:i/>
          <w:color w:val="auto"/>
          <w:lang w:eastAsia="fr-FR"/>
        </w:rPr>
        <w:t>(ou le Président),</w:t>
      </w:r>
    </w:p>
    <w:p w14:paraId="0E65B6A2" w14:textId="77777777" w:rsidR="006527A9" w:rsidRPr="002F5F5F" w:rsidRDefault="006527A9" w:rsidP="006527A9">
      <w:pPr>
        <w:pStyle w:val="Paragraphedeliste"/>
        <w:numPr>
          <w:ilvl w:val="0"/>
          <w:numId w:val="2"/>
        </w:numPr>
        <w:spacing w:after="0" w:line="240" w:lineRule="auto"/>
        <w:ind w:left="-426"/>
        <w:rPr>
          <w:rFonts w:asciiTheme="minorHAnsi" w:eastAsia="Calibri" w:hAnsiTheme="minorHAnsi" w:cstheme="minorHAnsi"/>
          <w:color w:val="auto"/>
          <w:kern w:val="20"/>
          <w:sz w:val="16"/>
          <w:szCs w:val="16"/>
        </w:rPr>
      </w:pPr>
      <w:r w:rsidRPr="002F5F5F">
        <w:rPr>
          <w:rFonts w:asciiTheme="minorHAnsi" w:eastAsia="Calibri" w:hAnsiTheme="minorHAnsi" w:cstheme="minorHAnsi"/>
          <w:color w:val="auto"/>
          <w:kern w:val="20"/>
          <w:sz w:val="16"/>
          <w:szCs w:val="16"/>
        </w:rPr>
        <w:t xml:space="preserve">Certifie le caractère exécutoire de cet acte,  </w:t>
      </w:r>
    </w:p>
    <w:p w14:paraId="27423922" w14:textId="647722A1" w:rsidR="006527A9" w:rsidRPr="00AE358B" w:rsidRDefault="006527A9" w:rsidP="00AE358B">
      <w:pPr>
        <w:pStyle w:val="recours"/>
        <w:numPr>
          <w:ilvl w:val="0"/>
          <w:numId w:val="1"/>
        </w:numPr>
        <w:ind w:left="-426" w:right="0"/>
        <w:rPr>
          <w:rFonts w:asciiTheme="minorHAnsi" w:eastAsia="Calibri" w:hAnsiTheme="minorHAnsi" w:cstheme="minorHAnsi"/>
          <w:b/>
          <w:color w:val="auto"/>
          <w:kern w:val="20"/>
          <w:sz w:val="22"/>
          <w:szCs w:val="22"/>
          <w:u w:val="single"/>
          <w:lang w:eastAsia="fr-FR"/>
        </w:rPr>
      </w:pPr>
      <w:r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 xml:space="preserve">Informe que celui-ci peut faire l’objet d’un recours pour excès de pouvoir auprès du tribunal administratif de Marseille dans un délai de deux mois à compter de l’obtention de ce caractère exécutoire. Le tribunal administratif peut être saisi par l’application informatique « Télérecours citoyens » accessible par le site Internet </w:t>
      </w:r>
      <w:hyperlink r:id="rId6" w:history="1">
        <w:r w:rsidRPr="002F5F5F">
          <w:rPr>
            <w:rFonts w:asciiTheme="minorHAnsi" w:eastAsia="Calibri" w:hAnsiTheme="minorHAnsi" w:cstheme="minorHAnsi"/>
            <w:b/>
            <w:color w:val="auto"/>
            <w:kern w:val="20"/>
            <w:u w:val="single"/>
            <w:lang w:eastAsia="fr-FR"/>
          </w:rPr>
          <w:t>www.telerecours.fr</w:t>
        </w:r>
      </w:hyperlink>
    </w:p>
    <w:p w14:paraId="2975BE9C" w14:textId="77777777" w:rsidR="00AE358B" w:rsidRPr="00AE358B" w:rsidRDefault="00AE358B" w:rsidP="00AE358B">
      <w:pPr>
        <w:pStyle w:val="recours"/>
        <w:ind w:left="-426" w:right="0"/>
        <w:rPr>
          <w:rFonts w:asciiTheme="minorHAnsi" w:eastAsia="Calibri" w:hAnsiTheme="minorHAnsi" w:cstheme="minorHAnsi"/>
          <w:b/>
          <w:color w:val="auto"/>
          <w:kern w:val="20"/>
          <w:sz w:val="22"/>
          <w:szCs w:val="22"/>
          <w:u w:val="single"/>
          <w:lang w:eastAsia="fr-FR"/>
        </w:rPr>
      </w:pPr>
    </w:p>
    <w:p w14:paraId="329695CF" w14:textId="77777777" w:rsidR="006527A9" w:rsidRPr="00654A21" w:rsidRDefault="006527A9" w:rsidP="00654A21">
      <w:pPr>
        <w:spacing w:after="0" w:line="240" w:lineRule="auto"/>
        <w:jc w:val="both"/>
        <w:outlineLvl w:val="0"/>
        <w:rPr>
          <w:rFonts w:eastAsia="Times New Roman" w:cstheme="minorHAnsi"/>
          <w:kern w:val="20"/>
          <w:sz w:val="20"/>
          <w:szCs w:val="20"/>
          <w:lang w:eastAsia="fr-FR"/>
          <w14:ligatures w14:val="none"/>
        </w:rPr>
      </w:pPr>
      <w:r w:rsidRPr="00654A21">
        <w:rPr>
          <w:rFonts w:eastAsia="Times New Roman" w:cstheme="minorHAnsi"/>
          <w:kern w:val="20"/>
          <w:sz w:val="20"/>
          <w:szCs w:val="20"/>
          <w:lang w:eastAsia="fr-FR"/>
          <w14:ligatures w14:val="none"/>
        </w:rPr>
        <w:t>Transmis au représentant de l’Etat le : ……….</w:t>
      </w:r>
    </w:p>
    <w:p w14:paraId="55FDF27A" w14:textId="77777777" w:rsidR="006527A9" w:rsidRPr="00654A21" w:rsidRDefault="006527A9" w:rsidP="00654A21">
      <w:pPr>
        <w:spacing w:after="0" w:line="240" w:lineRule="auto"/>
        <w:jc w:val="both"/>
        <w:outlineLvl w:val="0"/>
        <w:rPr>
          <w:rFonts w:eastAsia="Times New Roman" w:cstheme="minorHAnsi"/>
          <w:kern w:val="20"/>
          <w:sz w:val="20"/>
          <w:szCs w:val="20"/>
          <w:lang w:eastAsia="fr-FR"/>
          <w14:ligatures w14:val="none"/>
        </w:rPr>
      </w:pPr>
      <w:r w:rsidRPr="00654A21">
        <w:rPr>
          <w:rFonts w:eastAsia="Times New Roman" w:cstheme="minorHAnsi"/>
          <w:kern w:val="20"/>
          <w:sz w:val="20"/>
          <w:szCs w:val="20"/>
          <w:lang w:eastAsia="fr-FR"/>
          <w14:ligatures w14:val="none"/>
        </w:rPr>
        <w:t>Publié le : ………………</w:t>
      </w:r>
    </w:p>
    <w:p w14:paraId="66D326DA" w14:textId="7518A782" w:rsidR="00AE358B" w:rsidRDefault="00AE358B" w:rsidP="006527A9">
      <w:pPr>
        <w:ind w:left="-426"/>
      </w:pPr>
    </w:p>
    <w:sectPr w:rsidR="00F173AC" w:rsidSect="00AE358B">
      <w:pgSz w:w="11906" w:h="16838"/>
      <w:pgMar w:top="1440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E87"/>
    <w:multiLevelType w:val="hybridMultilevel"/>
    <w:tmpl w:val="A3CC6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44546A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183D"/>
    <w:multiLevelType w:val="hybridMultilevel"/>
    <w:tmpl w:val="ED04339E"/>
    <w:lvl w:ilvl="0" w:tplc="58D20C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2022">
    <w:abstractNumId w:val="1"/>
  </w:num>
  <w:num w:numId="2" w16cid:durableId="20011132">
    <w:abstractNumId w:val="2"/>
  </w:num>
  <w:num w:numId="3" w16cid:durableId="972951579">
    <w:abstractNumId w:val="0"/>
  </w:num>
  <w:num w:numId="4" w16cid:durableId="182525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1E"/>
    <w:rsid w:val="006527A9"/>
    <w:rsid w:val="00654A21"/>
    <w:rsid w:val="00AE358B"/>
    <w:rsid w:val="00B330E9"/>
    <w:rsid w:val="00D32B81"/>
    <w:rsid w:val="00D5061E"/>
    <w:rsid w:val="00E3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A9A6"/>
  <w15:chartTrackingRefBased/>
  <w15:docId w15:val="{8F0A7365-FFC6-44EB-AF8C-3BE4C89D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6527A9"/>
    <w:pPr>
      <w:suppressAutoHyphens/>
      <w:autoSpaceDE w:val="0"/>
      <w:spacing w:after="0" w:line="240" w:lineRule="auto"/>
      <w:ind w:left="284" w:right="6095"/>
      <w:jc w:val="both"/>
    </w:pPr>
    <w:rPr>
      <w:rFonts w:ascii="Tahoma" w:eastAsia="Times New Roman" w:hAnsi="Tahoma" w:cs="Arial"/>
      <w:color w:val="2F5496" w:themeColor="accent1" w:themeShade="BF"/>
      <w:kern w:val="0"/>
      <w:sz w:val="16"/>
      <w:szCs w:val="16"/>
      <w:lang w:eastAsia="ar-SA"/>
      <w14:ligatures w14:val="none"/>
    </w:rPr>
  </w:style>
  <w:style w:type="paragraph" w:customStyle="1" w:styleId="articlecontenu">
    <w:name w:val="article : contenu"/>
    <w:basedOn w:val="Normal"/>
    <w:rsid w:val="006527A9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2F5496" w:themeColor="accent1" w:themeShade="BF"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6527A9"/>
    <w:pPr>
      <w:spacing w:after="120" w:line="320" w:lineRule="exact"/>
      <w:ind w:left="720"/>
      <w:contextualSpacing/>
      <w:jc w:val="both"/>
    </w:pPr>
    <w:rPr>
      <w:rFonts w:ascii="Tahoma" w:eastAsia="Times New Roman" w:hAnsi="Tahoma" w:cs="Times New Roman"/>
      <w:color w:val="2F5496" w:themeColor="accent1" w:themeShade="BF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recour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ROBIN</dc:creator>
  <cp:keywords/>
  <dc:description/>
  <cp:lastModifiedBy>Julien ROBIN</cp:lastModifiedBy>
  <cp:revision>2</cp:revision>
  <dcterms:created xsi:type="dcterms:W3CDTF">2024-02-07T14:20:00Z</dcterms:created>
  <dcterms:modified xsi:type="dcterms:W3CDTF">2024-02-07T14:57:00Z</dcterms:modified>
</cp:coreProperties>
</file>